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Data protection policy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Company</w:t>
            </w:r>
          </w:p>
        </w:tc>
        <w:tc>
          <w:tcPr>
            <w:tcW w:type="dxa" w:w="6803"/>
          </w:tcPr>
          <w:p>
            <w:r/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Data protection lead</w:t>
            </w:r>
          </w:p>
        </w:tc>
        <w:tc>
          <w:tcPr>
            <w:tcW w:type="dxa" w:w="6803"/>
          </w:tcPr>
          <w:p>
            <w:r>
              <w:t>Or DPO, if you have one</w:t>
            </w:r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ICO fee registration</w:t>
            </w:r>
          </w:p>
        </w:tc>
        <w:tc>
          <w:tcPr>
            <w:tcW w:type="dxa" w:w="6803"/>
          </w:tcPr>
          <w:p>
            <w:r>
              <w:t>Reference and renewal date, unless exempt</w:t>
            </w:r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Approved by</w:t>
            </w:r>
          </w:p>
        </w:tc>
        <w:tc>
          <w:tcPr>
            <w:tcW w:type="dxa" w:w="6803"/>
          </w:tcPr>
          <w:p>
            <w:r/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Version, date and next review</w:t>
            </w:r>
          </w:p>
        </w:tc>
        <w:tc>
          <w:tcPr>
            <w:tcW w:type="dxa" w:w="6803"/>
          </w:tcPr>
          <w:p>
            <w:r/>
          </w:p>
        </w:tc>
      </w:tr>
    </w:tbl>
    <w:p/>
    <w:p>
      <w:pPr>
        <w:pStyle w:val="Heading2"/>
      </w:pPr>
      <w:r>
        <w:t>1. Scope</w:t>
      </w:r>
    </w:p>
    <w:p>
      <w:r>
        <w:rPr>
          <w:i/>
          <w:color w:val="6B7083"/>
        </w:rPr>
        <w:t>Everyone who works for us, including contractors, and all personal data we hold about staff, applicants, customers, suppliers' contacts and visitors.</w:t>
      </w:r>
    </w:p>
    <w:p>
      <w:pPr>
        <w:pStyle w:val="Heading2"/>
      </w:pPr>
      <w:r>
        <w:t>2. Principles</w:t>
      </w:r>
    </w:p>
    <w:p>
      <w:pPr>
        <w:pStyle w:val="ListBullet"/>
      </w:pPr>
      <w:r>
        <w:t>Lawfulness, fairness and transparency: we tell people what we do</w:t>
      </w:r>
    </w:p>
    <w:p>
      <w:pPr>
        <w:pStyle w:val="ListBullet"/>
      </w:pPr>
      <w:r>
        <w:t>Purpose limitation: no new use without checking</w:t>
      </w:r>
    </w:p>
    <w:p>
      <w:pPr>
        <w:pStyle w:val="ListBullet"/>
      </w:pPr>
      <w:r>
        <w:t>Data minimisation: only what we need</w:t>
      </w:r>
    </w:p>
    <w:p>
      <w:pPr>
        <w:pStyle w:val="ListBullet"/>
      </w:pPr>
      <w:r>
        <w:t>Accuracy: errors fixed promptly</w:t>
      </w:r>
    </w:p>
    <w:p>
      <w:pPr>
        <w:pStyle w:val="ListBullet"/>
      </w:pPr>
      <w:r>
        <w:t>Storage limitation: we follow the retention schedule</w:t>
      </w:r>
    </w:p>
    <w:p>
      <w:pPr>
        <w:pStyle w:val="ListBullet"/>
      </w:pPr>
      <w:r>
        <w:t>Integrity and confidentiality: data kept secure</w:t>
      </w:r>
    </w:p>
    <w:p>
      <w:pPr>
        <w:pStyle w:val="ListBullet"/>
      </w:pPr>
      <w:r>
        <w:t>Accountability: records that show we comply</w:t>
      </w:r>
    </w:p>
    <w:p>
      <w:pPr>
        <w:pStyle w:val="Heading2"/>
      </w:pPr>
      <w:r>
        <w:t>3. Responsibilities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E3E6FA"/>
          </w:tcPr>
          <w:p>
            <w:r>
              <w:rPr>
                <w:b/>
              </w:rPr>
              <w:t>Who</w:t>
            </w:r>
          </w:p>
        </w:tc>
        <w:tc>
          <w:tcPr>
            <w:tcW w:type="dxa" w:w="4986"/>
            <w:shd w:val="clear" w:color="auto" w:fill="E3E6FA"/>
          </w:tcPr>
          <w:p>
            <w:r>
              <w:rPr>
                <w:b/>
              </w:rPr>
              <w:t>Responsible for</w:t>
            </w:r>
          </w:p>
        </w:tc>
      </w:tr>
      <w:tr>
        <w:tc>
          <w:tcPr>
            <w:tcW w:type="dxa" w:w="4986"/>
          </w:tcPr>
          <w:p>
            <w:r>
              <w:t>Directors</w:t>
            </w:r>
          </w:p>
        </w:tc>
        <w:tc>
          <w:tcPr>
            <w:tcW w:type="dxa" w:w="4986"/>
          </w:tcPr>
          <w:p>
            <w:r>
              <w:t>Accountability; approving this policy</w:t>
            </w:r>
          </w:p>
        </w:tc>
      </w:tr>
      <w:tr>
        <w:tc>
          <w:tcPr>
            <w:tcW w:type="dxa" w:w="4986"/>
          </w:tcPr>
          <w:p>
            <w:r>
              <w:t>Data protection lead</w:t>
            </w:r>
          </w:p>
        </w:tc>
        <w:tc>
          <w:tcPr>
            <w:tcW w:type="dxa" w:w="4986"/>
          </w:tcPr>
          <w:p>
            <w:r>
              <w:t>Advice, records of processing, requests, complaints, breaches, training</w:t>
            </w:r>
          </w:p>
        </w:tc>
      </w:tr>
      <w:tr>
        <w:tc>
          <w:tcPr>
            <w:tcW w:type="dxa" w:w="4986"/>
          </w:tcPr>
          <w:p>
            <w:r>
              <w:t>Managers</w:t>
            </w:r>
          </w:p>
        </w:tc>
        <w:tc>
          <w:tcPr>
            <w:tcW w:type="dxa" w:w="4986"/>
          </w:tcPr>
          <w:p>
            <w:r>
              <w:t>Their team's compliance</w:t>
            </w:r>
          </w:p>
        </w:tc>
      </w:tr>
      <w:tr>
        <w:tc>
          <w:tcPr>
            <w:tcW w:type="dxa" w:w="4986"/>
          </w:tcPr>
          <w:p>
            <w:r>
              <w:t>Everyone</w:t>
            </w:r>
          </w:p>
        </w:tc>
        <w:tc>
          <w:tcPr>
            <w:tcW w:type="dxa" w:w="4986"/>
          </w:tcPr>
          <w:p>
            <w:r>
              <w:t>Following this policy; reporting problems at once</w:t>
            </w:r>
          </w:p>
        </w:tc>
      </w:tr>
    </w:tbl>
    <w:p/>
    <w:p>
      <w:pPr>
        <w:pStyle w:val="Heading2"/>
      </w:pPr>
      <w:r>
        <w:t>4. Lawful basis and sensitive data</w:t>
      </w:r>
    </w:p>
    <w:p>
      <w:r>
        <w:rPr>
          <w:i/>
          <w:color w:val="6B7083"/>
        </w:rPr>
        <w:t>Every purpose has a recorded lawful basis. Special category and criminal offence data also needs a recorded condition and, where the law requires it, an appropriate policy document.</w:t>
      </w:r>
    </w:p>
    <w:p>
      <w:pPr>
        <w:pStyle w:val="Heading2"/>
      </w:pPr>
      <w:r>
        <w:t>5. Requests and complaints</w:t>
      </w:r>
    </w:p>
    <w:p>
      <w:pPr>
        <w:spacing w:after="60"/>
        <w:ind w:left="227"/>
      </w:pPr>
      <w:r>
        <w:t>☐  Pass any request, however it arrives, to the data protection lead the same day</w:t>
      </w:r>
    </w:p>
    <w:p>
      <w:pPr>
        <w:spacing w:after="60"/>
        <w:ind w:left="227"/>
      </w:pPr>
      <w:r>
        <w:t>☐  Log each one; answer subject access requests within one month unless extended</w:t>
      </w:r>
    </w:p>
    <w:p>
      <w:pPr>
        <w:spacing w:after="60"/>
        <w:ind w:left="227"/>
      </w:pPr>
      <w:r>
        <w:t>☐  Complaints accepted by [email, online form, phone] and acknowledged within 30 days</w:t>
      </w:r>
    </w:p>
    <w:p>
      <w:pPr>
        <w:pStyle w:val="Heading2"/>
      </w:pPr>
      <w:r>
        <w:t>6. Retention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3E6FA"/>
          </w:tcPr>
          <w:p>
            <w:r>
              <w:rPr>
                <w:b/>
              </w:rPr>
              <w:t>Record</w:t>
            </w:r>
          </w:p>
        </w:tc>
        <w:tc>
          <w:tcPr>
            <w:tcW w:type="dxa" w:w="3324"/>
            <w:shd w:val="clear" w:color="auto" w:fill="E3E6FA"/>
          </w:tcPr>
          <w:p>
            <w:r>
              <w:rPr>
                <w:b/>
              </w:rPr>
              <w:t>Retention period</w:t>
            </w:r>
          </w:p>
        </w:tc>
        <w:tc>
          <w:tcPr>
            <w:tcW w:type="dxa" w:w="3324"/>
            <w:shd w:val="clear" w:color="auto" w:fill="E3E6FA"/>
          </w:tcPr>
          <w:p>
            <w:r>
              <w:rPr>
                <w:b/>
              </w:rPr>
              <w:t>Reason</w:t>
            </w:r>
          </w:p>
        </w:tc>
      </w:tr>
      <w:tr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</w:tbl>
    <w:p/>
    <w:p>
      <w:pPr>
        <w:pStyle w:val="Heading2"/>
      </w:pPr>
      <w:r>
        <w:t>7. Security and sharing</w:t>
      </w:r>
    </w:p>
    <w:p>
      <w:pPr>
        <w:pStyle w:val="ListBullet"/>
      </w:pPr>
      <w:r>
        <w:t>Staff follow the IT security and acceptable use policies</w:t>
      </w:r>
    </w:p>
    <w:p>
      <w:pPr>
        <w:pStyle w:val="ListBullet"/>
      </w:pPr>
      <w:r>
        <w:t>Processors work under a written contract</w:t>
      </w:r>
    </w:p>
    <w:p>
      <w:pPr>
        <w:pStyle w:val="ListBullet"/>
      </w:pPr>
      <w:r>
        <w:t>New systems or uses of personal data are screened for a DPIA</w:t>
      </w:r>
    </w:p>
    <w:p>
      <w:pPr>
        <w:pStyle w:val="Heading2"/>
      </w:pPr>
      <w:r>
        <w:t>8. Breaches</w:t>
      </w:r>
    </w:p>
    <w:p>
      <w:pPr>
        <w:spacing w:after="60"/>
        <w:ind w:left="227"/>
      </w:pPr>
      <w:r>
        <w:t>☐  Report a suspected breach to the data protection lead immediately</w:t>
      </w:r>
    </w:p>
    <w:p>
      <w:pPr>
        <w:spacing w:after="60"/>
        <w:ind w:left="227"/>
      </w:pPr>
      <w:r>
        <w:t>☐  Log every breach</w:t>
      </w:r>
    </w:p>
    <w:p>
      <w:pPr>
        <w:spacing w:after="60"/>
        <w:ind w:left="227"/>
      </w:pPr>
      <w:r>
        <w:t>☐  Notifiable breaches reported to the ICO within 72 hours of becoming aware</w:t>
      </w:r>
    </w:p>
    <w:p>
      <w:pPr>
        <w:spacing w:after="60"/>
        <w:ind w:left="227"/>
      </w:pPr>
      <w:r>
        <w:t>☐  Affected people told directly when the risk to them is high</w:t>
      </w:r>
    </w:p>
    <w:p>
      <w:pPr>
        <w:pStyle w:val="Heading2"/>
      </w:pPr>
      <w:r>
        <w:t>9. Training and review</w:t>
      </w:r>
    </w:p>
    <w:p>
      <w:r>
        <w:rPr>
          <w:i/>
          <w:color w:val="6B7083"/>
        </w:rPr>
        <w:t>Training within a new starter's first month and before they handle personal data; refreshers yearly, never more than two years apart. Policy reviewed yearly.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888888"/>
        <w:sz w:val="16"/>
      </w:rPr>
      <w:t>Free template from runbooked.co. Delete this line if you like.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Data protection policy template</dc:title>
  <dc:subject/>
  <dc:creator>runbooked.co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