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Information security policy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Accountable director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Policy owner</w:t>
            </w:r>
          </w:p>
        </w:tc>
        <w:tc>
          <w:tcPr>
            <w:tcW w:type="dxa" w:w="6803"/>
          </w:tcPr>
          <w:p>
            <w:r>
              <w:t>Day-to-day lead, in-house or at your IT provider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Cyber Essentials</w:t>
            </w:r>
          </w:p>
        </w:tc>
        <w:tc>
          <w:tcPr>
            <w:tcW w:type="dxa" w:w="6803"/>
          </w:tcPr>
          <w:p>
            <w:r>
              <w:t>Level, certificate number and expiry, or target date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Version, date and next review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Scope</w:t>
      </w:r>
    </w:p>
    <w:p>
      <w:r>
        <w:rPr>
          <w:i/>
          <w:color w:val="6B7083"/>
        </w:rPr>
        <w:t>Everything that holds or reaches company data: offices, home working, company devices, personal devices used for work, cloud services, and accounts used by IT suppliers.</w:t>
      </w:r>
    </w:p>
    <w:p>
      <w:pPr>
        <w:pStyle w:val="Heading2"/>
      </w:pPr>
      <w:r>
        <w:t>2. Responsibilities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Responsible for</w:t>
            </w:r>
          </w:p>
        </w:tc>
      </w:tr>
      <w:tr>
        <w:tc>
          <w:tcPr>
            <w:tcW w:type="dxa" w:w="4986"/>
          </w:tcPr>
          <w:p>
            <w:r>
              <w:t>Board</w:t>
            </w:r>
          </w:p>
        </w:tc>
        <w:tc>
          <w:tcPr>
            <w:tcW w:type="dxa" w:w="4986"/>
          </w:tcPr>
          <w:p>
            <w:r>
              <w:t>Approving this policy, accepting residual risks, funding fixes</w:t>
            </w:r>
          </w:p>
        </w:tc>
      </w:tr>
      <w:tr>
        <w:tc>
          <w:tcPr>
            <w:tcW w:type="dxa" w:w="4986"/>
          </w:tcPr>
          <w:p>
            <w:r>
              <w:t>Policy owner</w:t>
            </w:r>
          </w:p>
        </w:tc>
        <w:tc>
          <w:tcPr>
            <w:tcW w:type="dxa" w:w="4986"/>
          </w:tcPr>
          <w:p>
            <w:r>
              <w:t>Keeping controls in place; quarterly board report</w:t>
            </w:r>
          </w:p>
        </w:tc>
      </w:tr>
      <w:tr>
        <w:tc>
          <w:tcPr>
            <w:tcW w:type="dxa" w:w="4986"/>
          </w:tcPr>
          <w:p>
            <w:r>
              <w:t>IT lead or provider</w:t>
            </w:r>
          </w:p>
        </w:tc>
        <w:tc>
          <w:tcPr>
            <w:tcW w:type="dxa" w:w="4986"/>
          </w:tcPr>
          <w:p>
            <w:r>
              <w:t>Configuring, updating and monitoring systems</w:t>
            </w:r>
          </w:p>
        </w:tc>
      </w:tr>
      <w:tr>
        <w:tc>
          <w:tcPr>
            <w:tcW w:type="dxa" w:w="4986"/>
          </w:tcPr>
          <w:p>
            <w:r>
              <w:t>Managers</w:t>
            </w:r>
          </w:p>
        </w:tc>
        <w:tc>
          <w:tcPr>
            <w:tcW w:type="dxa" w:w="4986"/>
          </w:tcPr>
          <w:p>
            <w:r>
              <w:t>Approving access; telling IT about joiners, movers and leavers</w:t>
            </w:r>
          </w:p>
        </w:tc>
      </w:tr>
      <w:tr>
        <w:tc>
          <w:tcPr>
            <w:tcW w:type="dxa" w:w="4986"/>
          </w:tcPr>
          <w:p>
            <w:r>
              <w:t>Staff</w:t>
            </w:r>
          </w:p>
        </w:tc>
        <w:tc>
          <w:tcPr>
            <w:tcW w:type="dxa" w:w="4986"/>
          </w:tcPr>
          <w:p>
            <w:r>
              <w:t>Following the acceptable use policy; reporting incidents</w:t>
            </w:r>
          </w:p>
        </w:tc>
      </w:tr>
    </w:tbl>
    <w:p/>
    <w:p>
      <w:pPr>
        <w:pStyle w:val="Heading2"/>
      </w:pPr>
      <w:r>
        <w:t>3. Technical controls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Our standard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checked</w:t>
            </w:r>
          </w:p>
        </w:tc>
      </w:tr>
      <w:tr>
        <w:tc>
          <w:tcPr>
            <w:tcW w:type="dxa" w:w="2493"/>
          </w:tcPr>
          <w:p>
            <w:r>
              <w:t>Firewalls</w:t>
            </w:r>
          </w:p>
        </w:tc>
        <w:tc>
          <w:tcPr>
            <w:tcW w:type="dxa" w:w="2493"/>
          </w:tcPr>
          <w:p>
            <w:r>
              <w:t>Every device protected; default admin passwords changed; admin interfaces closed to the internet unless documented and extra-protected; inbound rules approved and pruned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Secure configuration</w:t>
            </w:r>
          </w:p>
        </w:tc>
        <w:tc>
          <w:tcPr>
            <w:tcW w:type="dxa" w:w="2493"/>
          </w:tcPr>
          <w:p>
            <w:r>
              <w:t>Unused accounts and software removed; auto-run off; devices lock and limit password guessing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Security update management</w:t>
            </w:r>
          </w:p>
        </w:tc>
        <w:tc>
          <w:tcPr>
            <w:tcW w:type="dxa" w:w="2493"/>
          </w:tcPr>
          <w:p>
            <w:r>
              <w:t>Licensed, supported software only; automatic updates on; critical and high-risk fixes within 14 days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User access control</w:t>
            </w:r>
          </w:p>
        </w:tc>
        <w:tc>
          <w:tcPr>
            <w:tcW w:type="dxa" w:w="2493"/>
          </w:tcPr>
          <w:p>
            <w:r>
              <w:t>Approved, individual accounts; MFA on every cloud service; separate admin accounts; access removed when no longer needed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Malware protection</w:t>
            </w:r>
          </w:p>
        </w:tc>
        <w:tc>
          <w:tcPr>
            <w:tcW w:type="dxa" w:w="2493"/>
          </w:tcPr>
          <w:p>
            <w:r>
              <w:t>Up-to-date anti-malware that blocks malicious websites, or application allow listing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4. Sign-in standards</w:t>
      </w:r>
    </w:p>
    <w:p>
      <w:pPr>
        <w:pStyle w:val="ListBullet"/>
      </w:pPr>
      <w:r>
        <w:t>Multi-factor authentication (MFA) wherever available; passkeys where offered</w:t>
      </w:r>
    </w:p>
    <w:p>
      <w:pPr>
        <w:pStyle w:val="ListBullet"/>
      </w:pPr>
      <w:r>
        <w:t>Without MFA: at least 12 characters, or 8 plus a block list of common passwords</w:t>
      </w:r>
    </w:p>
    <w:p>
      <w:pPr>
        <w:pStyle w:val="ListBullet"/>
      </w:pPr>
      <w:r>
        <w:t>No forced expiry or complexity rules; a password manager for everyone</w:t>
      </w:r>
    </w:p>
    <w:p>
      <w:pPr>
        <w:pStyle w:val="ListBullet"/>
      </w:pPr>
      <w:r>
        <w:t>Passwords changed at once if compromise is suspected</w:t>
      </w:r>
    </w:p>
    <w:p>
      <w:pPr>
        <w:pStyle w:val="Heading2"/>
      </w:pPr>
      <w:r>
        <w:t>5. Assets and backups</w:t>
      </w:r>
    </w:p>
    <w:p>
      <w:pPr>
        <w:pStyle w:val="ListBullet"/>
      </w:pPr>
      <w:r>
        <w:t>Register of devices, software and cloud services, checked [quarterly]</w:t>
      </w:r>
    </w:p>
    <w:p>
      <w:pPr>
        <w:pStyle w:val="ListBullet"/>
      </w:pPr>
      <w:r>
        <w:t>Data the business needs is backed up, with one copy kept apart from the network</w:t>
      </w:r>
    </w:p>
    <w:p>
      <w:pPr>
        <w:pStyle w:val="ListBullet"/>
      </w:pPr>
      <w:r>
        <w:t>Restores tested [quarterly]; see the disaster recovery plan</w:t>
      </w:r>
    </w:p>
    <w:p>
      <w:pPr>
        <w:pStyle w:val="Heading2"/>
      </w:pPr>
      <w:r>
        <w:t>6. Suppliers</w:t>
      </w:r>
    </w:p>
    <w:p>
      <w:pPr>
        <w:pStyle w:val="ListBullet"/>
      </w:pPr>
      <w:r>
        <w:t>Security checked before contracts are signed</w:t>
      </w:r>
    </w:p>
    <w:p>
      <w:pPr>
        <w:pStyle w:val="ListBullet"/>
      </w:pPr>
      <w:r>
        <w:t>Supplier accounts named, protected by MFA and reviewed</w:t>
      </w:r>
    </w:p>
    <w:p>
      <w:pPr>
        <w:pStyle w:val="ListBullet"/>
      </w:pPr>
      <w:r>
        <w:t>Contracts state which controls the supplier provides</w:t>
      </w:r>
    </w:p>
    <w:p>
      <w:pPr>
        <w:pStyle w:val="Heading2"/>
      </w:pPr>
      <w:r>
        <w:t>7. People and incidents</w:t>
      </w:r>
    </w:p>
    <w:p>
      <w:pPr>
        <w:pStyle w:val="ListBullet"/>
      </w:pPr>
      <w:r>
        <w:t>Security briefing at induction and yearly</w:t>
      </w:r>
    </w:p>
    <w:p>
      <w:pPr>
        <w:pStyle w:val="ListBullet"/>
      </w:pPr>
      <w:r>
        <w:t>Acceptable use policy acknowledged by every user</w:t>
      </w:r>
    </w:p>
    <w:p>
      <w:pPr>
        <w:pStyle w:val="ListBullet"/>
      </w:pPr>
      <w:r>
        <w:t>Incidents handled under the incident response plan</w:t>
      </w:r>
    </w:p>
    <w:p>
      <w:pPr>
        <w:pStyle w:val="Heading2"/>
      </w:pPr>
      <w:r>
        <w:t>8. Exceptions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Exception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Reason and safeguard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Review date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security policy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